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C54" w:rsidRPr="009A4C54" w:rsidRDefault="009A4C54" w:rsidP="009A4C54">
      <w:pPr>
        <w:tabs>
          <w:tab w:val="left" w:pos="2268"/>
        </w:tabs>
        <w:jc w:val="center"/>
        <w:rPr>
          <w:rFonts w:asciiTheme="minorHAnsi" w:hAnsiTheme="minorHAnsi" w:cstheme="minorHAnsi"/>
          <w:b/>
          <w:bCs/>
          <w:sz w:val="36"/>
          <w:szCs w:val="36"/>
        </w:rPr>
      </w:pPr>
      <w:r w:rsidRPr="009A4C54">
        <w:rPr>
          <w:rFonts w:asciiTheme="minorHAnsi" w:hAnsiTheme="minorHAnsi" w:cstheme="minorHAnsi"/>
          <w:b/>
          <w:bCs/>
          <w:sz w:val="36"/>
          <w:szCs w:val="36"/>
        </w:rPr>
        <w:t>Siglato all’Aran il contratto scuola per la parte economica</w:t>
      </w:r>
    </w:p>
    <w:p w:rsidR="009A4C54" w:rsidRDefault="009A4C54" w:rsidP="009A4C54">
      <w:pPr>
        <w:tabs>
          <w:tab w:val="left" w:pos="2268"/>
        </w:tabs>
        <w:rPr>
          <w:rFonts w:asciiTheme="minorHAnsi" w:hAnsiTheme="minorHAnsi" w:cstheme="minorHAnsi"/>
          <w:b/>
          <w:bCs/>
          <w:sz w:val="24"/>
          <w:szCs w:val="24"/>
        </w:rPr>
      </w:pPr>
    </w:p>
    <w:p w:rsidR="009A4C54" w:rsidRPr="009A4C54" w:rsidRDefault="0010491E" w:rsidP="009A4C54">
      <w:pPr>
        <w:tabs>
          <w:tab w:val="left" w:pos="2268"/>
        </w:tabs>
        <w:rPr>
          <w:rFonts w:asciiTheme="minorHAnsi" w:hAnsiTheme="minorHAnsi" w:cstheme="minorHAnsi"/>
          <w:b/>
          <w:bCs/>
          <w:sz w:val="24"/>
          <w:szCs w:val="24"/>
        </w:rPr>
      </w:pPr>
      <w:r>
        <w:rPr>
          <w:rFonts w:asciiTheme="minorHAnsi" w:hAnsiTheme="minorHAnsi" w:cstheme="minorHAnsi"/>
          <w:b/>
          <w:bCs/>
          <w:sz w:val="24"/>
          <w:szCs w:val="24"/>
        </w:rPr>
        <w:t>Le dichiarazioni</w:t>
      </w:r>
      <w:r w:rsidR="009A4C54" w:rsidRPr="009A4C54">
        <w:rPr>
          <w:rFonts w:asciiTheme="minorHAnsi" w:hAnsiTheme="minorHAnsi" w:cstheme="minorHAnsi"/>
          <w:b/>
          <w:bCs/>
          <w:sz w:val="24"/>
          <w:szCs w:val="24"/>
        </w:rPr>
        <w:t xml:space="preserve"> dei segretari de</w:t>
      </w:r>
      <w:r>
        <w:rPr>
          <w:rFonts w:asciiTheme="minorHAnsi" w:hAnsiTheme="minorHAnsi" w:cstheme="minorHAnsi"/>
          <w:b/>
          <w:bCs/>
          <w:sz w:val="24"/>
          <w:szCs w:val="24"/>
        </w:rPr>
        <w:t>l comparto Istruzione e Ricerca</w:t>
      </w:r>
    </w:p>
    <w:p w:rsidR="009A4C54" w:rsidRDefault="009A4C54" w:rsidP="009A4C54">
      <w:pPr>
        <w:tabs>
          <w:tab w:val="left" w:pos="2268"/>
        </w:tabs>
        <w:rPr>
          <w:rFonts w:asciiTheme="minorHAnsi" w:hAnsiTheme="minorHAnsi" w:cstheme="minorHAnsi"/>
          <w:b/>
          <w:bCs/>
          <w:sz w:val="24"/>
          <w:szCs w:val="24"/>
        </w:rPr>
      </w:pPr>
    </w:p>
    <w:p w:rsidR="00EB799D" w:rsidRPr="009A4C54" w:rsidRDefault="00EB799D" w:rsidP="00EB799D">
      <w:pPr>
        <w:tabs>
          <w:tab w:val="left" w:pos="2268"/>
        </w:tabs>
        <w:rPr>
          <w:rFonts w:asciiTheme="minorHAnsi" w:hAnsiTheme="minorHAnsi" w:cstheme="minorHAnsi"/>
          <w:b/>
          <w:bCs/>
          <w:sz w:val="24"/>
          <w:szCs w:val="24"/>
        </w:rPr>
      </w:pPr>
      <w:r w:rsidRPr="009A4C54">
        <w:rPr>
          <w:rFonts w:asciiTheme="minorHAnsi" w:hAnsiTheme="minorHAnsi" w:cstheme="minorHAnsi"/>
          <w:b/>
          <w:bCs/>
          <w:sz w:val="24"/>
          <w:szCs w:val="24"/>
        </w:rPr>
        <w:t xml:space="preserve">RINO DI MEGLIO, COORDINATORE NAZIONALE FEDERAZIONE GILDA-UNAMS </w:t>
      </w:r>
    </w:p>
    <w:p w:rsidR="00EB799D" w:rsidRDefault="00EB799D" w:rsidP="00EB799D">
      <w:pPr>
        <w:tabs>
          <w:tab w:val="left" w:pos="2268"/>
        </w:tabs>
        <w:rPr>
          <w:rFonts w:asciiTheme="minorHAnsi" w:hAnsiTheme="minorHAnsi" w:cstheme="minorHAnsi"/>
          <w:b/>
          <w:bCs/>
          <w:sz w:val="24"/>
          <w:szCs w:val="24"/>
        </w:rPr>
      </w:pPr>
      <w:r w:rsidRPr="009A4C54">
        <w:rPr>
          <w:rFonts w:asciiTheme="minorHAnsi" w:hAnsiTheme="minorHAnsi" w:cstheme="minorHAnsi"/>
          <w:sz w:val="24"/>
          <w:szCs w:val="24"/>
        </w:rPr>
        <w:t>È positivo che tutti coloro che lavorano nel comparto ricevano un sostanzioso acconto sulla parte economica. Adesso continuiamo a trattare sulla parte normativa dove tra le varie questioni bisogna intervenire sui vincoli alla mobilità e sui diritti dei lavoratori precari. Sono già tantissime le sentenze che stabiliscono un’equiparazione di trattamento con il personale assunto a tempo indeterminato e quindi dal contratto devono essere eliminate tutte le norme discriminatorie.</w:t>
      </w:r>
    </w:p>
    <w:p w:rsidR="00EB799D" w:rsidRDefault="00EB799D" w:rsidP="009A4C54">
      <w:pPr>
        <w:tabs>
          <w:tab w:val="left" w:pos="2268"/>
        </w:tabs>
        <w:rPr>
          <w:rFonts w:asciiTheme="minorHAnsi" w:hAnsiTheme="minorHAnsi" w:cstheme="minorHAnsi"/>
          <w:b/>
          <w:bCs/>
          <w:sz w:val="24"/>
          <w:szCs w:val="24"/>
        </w:rPr>
      </w:pPr>
    </w:p>
    <w:p w:rsidR="009A4C54" w:rsidRPr="009A4C54" w:rsidRDefault="009A4C54" w:rsidP="009A4C54">
      <w:pPr>
        <w:tabs>
          <w:tab w:val="left" w:pos="2268"/>
        </w:tabs>
        <w:rPr>
          <w:rFonts w:asciiTheme="minorHAnsi" w:hAnsiTheme="minorHAnsi" w:cstheme="minorHAnsi"/>
          <w:b/>
          <w:bCs/>
          <w:sz w:val="24"/>
          <w:szCs w:val="24"/>
        </w:rPr>
      </w:pPr>
      <w:r w:rsidRPr="009A4C54">
        <w:rPr>
          <w:rFonts w:asciiTheme="minorHAnsi" w:hAnsiTheme="minorHAnsi" w:cstheme="minorHAnsi"/>
          <w:b/>
          <w:bCs/>
          <w:sz w:val="24"/>
          <w:szCs w:val="24"/>
        </w:rPr>
        <w:t>FRANCESCO SINOPOLI, FLC CGIL</w:t>
      </w:r>
    </w:p>
    <w:p w:rsidR="009A4C54" w:rsidRDefault="009A4C54" w:rsidP="009A4C54">
      <w:pPr>
        <w:tabs>
          <w:tab w:val="left" w:pos="2268"/>
        </w:tabs>
        <w:rPr>
          <w:rFonts w:asciiTheme="minorHAnsi" w:hAnsiTheme="minorHAnsi" w:cstheme="minorHAnsi"/>
          <w:sz w:val="24"/>
          <w:szCs w:val="24"/>
        </w:rPr>
      </w:pPr>
      <w:r w:rsidRPr="009A4C54">
        <w:rPr>
          <w:rFonts w:asciiTheme="minorHAnsi" w:hAnsiTheme="minorHAnsi" w:cstheme="minorHAnsi"/>
          <w:sz w:val="24"/>
          <w:szCs w:val="24"/>
        </w:rPr>
        <w:t>Abbiamo acquisito la gran parte delle risorse a favore dello stipendio tabellare a fronte di un’inflazione che ha raggiunto livelli insostenibili per i salari delle lavoratrici e dei lavoratori del comparto, soprattutto in considerazione di un contratto scaduto ormai da tre anni. Il testo sottoscritto prevede chiaramente che il negoziato continui nei prossimi giorni. Le questioni sul tappeto sono tante, andremo avanti a tappe forzate sia sui restanti aspetti economici sia su tutta la parte normativa per firmarla entro dicembre.</w:t>
      </w:r>
    </w:p>
    <w:p w:rsidR="009A4C54" w:rsidRPr="009A4C54" w:rsidRDefault="009A4C54" w:rsidP="009A4C54">
      <w:pPr>
        <w:tabs>
          <w:tab w:val="left" w:pos="2268"/>
        </w:tabs>
        <w:rPr>
          <w:rFonts w:asciiTheme="minorHAnsi" w:hAnsiTheme="minorHAnsi" w:cstheme="minorHAnsi"/>
          <w:sz w:val="24"/>
          <w:szCs w:val="24"/>
        </w:rPr>
      </w:pPr>
    </w:p>
    <w:p w:rsidR="009A4C54" w:rsidRPr="009A4C54" w:rsidRDefault="009A4C54" w:rsidP="009A4C54">
      <w:pPr>
        <w:tabs>
          <w:tab w:val="left" w:pos="2268"/>
        </w:tabs>
        <w:rPr>
          <w:rFonts w:asciiTheme="minorHAnsi" w:hAnsiTheme="minorHAnsi" w:cstheme="minorHAnsi"/>
          <w:b/>
          <w:bCs/>
          <w:sz w:val="24"/>
          <w:szCs w:val="24"/>
        </w:rPr>
      </w:pPr>
      <w:r w:rsidRPr="009A4C54">
        <w:rPr>
          <w:rFonts w:asciiTheme="minorHAnsi" w:hAnsiTheme="minorHAnsi" w:cstheme="minorHAnsi"/>
          <w:b/>
          <w:bCs/>
          <w:sz w:val="24"/>
          <w:szCs w:val="24"/>
        </w:rPr>
        <w:t>IVANA BARBACCI, CISL SCUOLA</w:t>
      </w:r>
    </w:p>
    <w:p w:rsidR="009A4C54" w:rsidRPr="009A4C54" w:rsidRDefault="009A4C54" w:rsidP="009A4C54">
      <w:pPr>
        <w:tabs>
          <w:tab w:val="left" w:pos="2268"/>
        </w:tabs>
        <w:rPr>
          <w:rFonts w:asciiTheme="minorHAnsi" w:hAnsiTheme="minorHAnsi" w:cstheme="minorHAnsi"/>
          <w:color w:val="000000" w:themeColor="text1"/>
          <w:sz w:val="24"/>
          <w:szCs w:val="24"/>
        </w:rPr>
      </w:pPr>
      <w:r w:rsidRPr="009A4C54">
        <w:rPr>
          <w:rFonts w:asciiTheme="minorHAnsi" w:hAnsiTheme="minorHAnsi" w:cstheme="minorHAnsi"/>
          <w:color w:val="000000" w:themeColor="text1"/>
          <w:sz w:val="24"/>
          <w:szCs w:val="24"/>
        </w:rPr>
        <w:t>Questo accordo è stato a lungo atteso ed è il frutto di un lavoro costante di negoziazione.</w:t>
      </w:r>
    </w:p>
    <w:p w:rsidR="009A4C54" w:rsidRDefault="009A4C54" w:rsidP="009A4C54">
      <w:pPr>
        <w:tabs>
          <w:tab w:val="left" w:pos="2268"/>
        </w:tabs>
        <w:rPr>
          <w:rFonts w:asciiTheme="minorHAnsi" w:hAnsiTheme="minorHAnsi" w:cstheme="minorHAnsi"/>
          <w:color w:val="000000" w:themeColor="text1"/>
          <w:sz w:val="24"/>
          <w:szCs w:val="24"/>
        </w:rPr>
      </w:pPr>
      <w:r w:rsidRPr="009A4C54">
        <w:rPr>
          <w:rFonts w:asciiTheme="minorHAnsi" w:hAnsiTheme="minorHAnsi" w:cstheme="minorHAnsi"/>
          <w:color w:val="000000" w:themeColor="text1"/>
          <w:sz w:val="24"/>
          <w:szCs w:val="24"/>
        </w:rPr>
        <w:t>Finalmente abbiamo trovato un punto di intesa soddisfacente e questo ha permesso di accelerare i tempi. Siamo soddisfatti, ma sappiamo che rimane molto da fare: questo è il primo passo di un percorso che continua, per riconoscere in modo giusto il valore del lavoro nella scuola, colmando distanze che non hanno ragion d’essere anche rispetto ad altri settori del lavoro pubblico.</w:t>
      </w:r>
    </w:p>
    <w:p w:rsidR="009A4C54" w:rsidRPr="009A4C54" w:rsidRDefault="009A4C54" w:rsidP="009A4C54">
      <w:pPr>
        <w:tabs>
          <w:tab w:val="left" w:pos="2268"/>
        </w:tabs>
        <w:rPr>
          <w:rFonts w:asciiTheme="minorHAnsi" w:hAnsiTheme="minorHAnsi" w:cstheme="minorHAnsi"/>
          <w:color w:val="000000" w:themeColor="text1"/>
          <w:sz w:val="24"/>
          <w:szCs w:val="24"/>
        </w:rPr>
      </w:pPr>
    </w:p>
    <w:p w:rsidR="009A4C54" w:rsidRPr="009A4C54" w:rsidRDefault="009A4C54" w:rsidP="009A4C54">
      <w:pPr>
        <w:tabs>
          <w:tab w:val="left" w:pos="2268"/>
        </w:tabs>
        <w:rPr>
          <w:rFonts w:asciiTheme="minorHAnsi" w:hAnsiTheme="minorHAnsi" w:cstheme="minorHAnsi"/>
          <w:b/>
          <w:bCs/>
          <w:sz w:val="24"/>
          <w:szCs w:val="24"/>
        </w:rPr>
      </w:pPr>
      <w:r w:rsidRPr="009A4C54">
        <w:rPr>
          <w:rFonts w:asciiTheme="minorHAnsi" w:hAnsiTheme="minorHAnsi" w:cstheme="minorHAnsi"/>
          <w:b/>
          <w:bCs/>
          <w:sz w:val="24"/>
          <w:szCs w:val="24"/>
        </w:rPr>
        <w:t>GIUSEPPE D’APRILE, FEDERAZIONE UIL SCUOLA RUA</w:t>
      </w:r>
    </w:p>
    <w:p w:rsidR="009A4C54" w:rsidRDefault="009A4C54" w:rsidP="009A4C54">
      <w:pPr>
        <w:tabs>
          <w:tab w:val="left" w:pos="2268"/>
        </w:tabs>
        <w:rPr>
          <w:rFonts w:asciiTheme="minorHAnsi" w:hAnsiTheme="minorHAnsi" w:cstheme="minorHAnsi"/>
          <w:sz w:val="24"/>
          <w:szCs w:val="24"/>
        </w:rPr>
      </w:pPr>
      <w:r w:rsidRPr="009A4C54">
        <w:rPr>
          <w:rFonts w:asciiTheme="minorHAnsi" w:hAnsiTheme="minorHAnsi" w:cstheme="minorHAnsi"/>
          <w:sz w:val="24"/>
          <w:szCs w:val="24"/>
        </w:rPr>
        <w:t xml:space="preserve">È un punto di partenza, continueremo a valutare nel </w:t>
      </w:r>
      <w:r w:rsidRPr="009A4C54">
        <w:rPr>
          <w:rFonts w:asciiTheme="minorHAnsi" w:hAnsiTheme="minorHAnsi" w:cstheme="minorHAnsi"/>
          <w:i/>
          <w:iCs/>
          <w:sz w:val="24"/>
          <w:szCs w:val="24"/>
        </w:rPr>
        <w:t>merito</w:t>
      </w:r>
      <w:r w:rsidR="0079173D">
        <w:rPr>
          <w:rFonts w:asciiTheme="minorHAnsi" w:hAnsiTheme="minorHAnsi" w:cstheme="minorHAnsi"/>
          <w:sz w:val="24"/>
          <w:szCs w:val="24"/>
        </w:rPr>
        <w:t xml:space="preserve">. </w:t>
      </w:r>
      <w:r w:rsidRPr="009A4C54">
        <w:rPr>
          <w:rFonts w:asciiTheme="minorHAnsi" w:hAnsiTheme="minorHAnsi" w:cstheme="minorHAnsi"/>
          <w:sz w:val="24"/>
          <w:szCs w:val="24"/>
        </w:rPr>
        <w:t>Nei prossimi giorni partirà la trattativa per la parte normativa del Contratto Istruzione e Ricerca. Non possiamo dire quanto ci vorrà con esattezza per concluderla, ma l’urgenza è massima. Le cose da fare</w:t>
      </w:r>
      <w:r w:rsidR="0079173D">
        <w:rPr>
          <w:rFonts w:asciiTheme="minorHAnsi" w:hAnsiTheme="minorHAnsi" w:cstheme="minorHAnsi"/>
          <w:sz w:val="24"/>
          <w:szCs w:val="24"/>
        </w:rPr>
        <w:t xml:space="preserve"> sono ancora molte: </w:t>
      </w:r>
      <w:r w:rsidRPr="009A4C54">
        <w:rPr>
          <w:rFonts w:asciiTheme="minorHAnsi" w:hAnsiTheme="minorHAnsi" w:cstheme="minorHAnsi"/>
          <w:sz w:val="24"/>
          <w:szCs w:val="24"/>
        </w:rPr>
        <w:t xml:space="preserve">la riforma degli ordinamenti del personale Ata, la valorizzazione dei Dsga, la mobilità le relazioni sindacali e la formazione, tutti istituti giuridici che fino ad oggi non erano regolamentati dal contratto nazionale ma che lo saranno in futuro attraverso una </w:t>
      </w:r>
      <w:r w:rsidR="0079173D">
        <w:rPr>
          <w:rFonts w:asciiTheme="minorHAnsi" w:hAnsiTheme="minorHAnsi" w:cstheme="minorHAnsi"/>
          <w:sz w:val="24"/>
          <w:szCs w:val="24"/>
        </w:rPr>
        <w:t>sequenza contrattuale specifica</w:t>
      </w:r>
      <w:r w:rsidRPr="009A4C54">
        <w:rPr>
          <w:rFonts w:asciiTheme="minorHAnsi" w:hAnsiTheme="minorHAnsi" w:cstheme="minorHAnsi"/>
          <w:sz w:val="24"/>
          <w:szCs w:val="24"/>
        </w:rPr>
        <w:t>.</w:t>
      </w:r>
    </w:p>
    <w:p w:rsidR="009A4C54" w:rsidRPr="009A4C54" w:rsidRDefault="009A4C54" w:rsidP="009A4C54">
      <w:pPr>
        <w:tabs>
          <w:tab w:val="left" w:pos="2268"/>
        </w:tabs>
        <w:rPr>
          <w:rFonts w:asciiTheme="minorHAnsi" w:hAnsiTheme="minorHAnsi" w:cstheme="minorHAnsi"/>
          <w:sz w:val="24"/>
          <w:szCs w:val="24"/>
        </w:rPr>
      </w:pPr>
    </w:p>
    <w:p w:rsidR="009A4C54" w:rsidRPr="009A4C54" w:rsidRDefault="0079173D" w:rsidP="009A4C54">
      <w:pPr>
        <w:tabs>
          <w:tab w:val="left" w:pos="2268"/>
        </w:tabs>
        <w:rPr>
          <w:rFonts w:asciiTheme="minorHAnsi" w:hAnsiTheme="minorHAnsi" w:cstheme="minorHAnsi"/>
          <w:b/>
          <w:bCs/>
          <w:sz w:val="24"/>
          <w:szCs w:val="24"/>
        </w:rPr>
      </w:pPr>
      <w:r>
        <w:rPr>
          <w:rFonts w:asciiTheme="minorHAnsi" w:hAnsiTheme="minorHAnsi" w:cstheme="minorHAnsi"/>
          <w:b/>
          <w:bCs/>
          <w:sz w:val="24"/>
          <w:szCs w:val="24"/>
        </w:rPr>
        <w:t>ELVIRA SERAFINI, SNALS CONFSAL</w:t>
      </w:r>
    </w:p>
    <w:p w:rsidR="009A4C54" w:rsidRPr="009A4C54" w:rsidRDefault="009A4C54" w:rsidP="009A4C54">
      <w:pPr>
        <w:tabs>
          <w:tab w:val="left" w:pos="2268"/>
        </w:tabs>
        <w:rPr>
          <w:rFonts w:asciiTheme="minorHAnsi" w:hAnsiTheme="minorHAnsi" w:cstheme="minorHAnsi"/>
          <w:sz w:val="24"/>
          <w:szCs w:val="24"/>
        </w:rPr>
      </w:pPr>
      <w:r w:rsidRPr="009A4C54">
        <w:rPr>
          <w:rFonts w:asciiTheme="minorHAnsi" w:hAnsiTheme="minorHAnsi" w:cstheme="minorHAnsi"/>
          <w:sz w:val="24"/>
          <w:szCs w:val="24"/>
        </w:rPr>
        <w:t xml:space="preserve">L’attuale congiuntura economica fa sì che quest’accordo vada incontro alle immediate esigenze dei lavoratori interessati. L’anticipo del mese di dicembre del 95% della parte economica del contratto va proprio in questa direzione. </w:t>
      </w:r>
    </w:p>
    <w:p w:rsidR="009A4C54" w:rsidRDefault="009A4C54" w:rsidP="009A4C54">
      <w:pPr>
        <w:tabs>
          <w:tab w:val="left" w:pos="2268"/>
        </w:tabs>
        <w:rPr>
          <w:rFonts w:asciiTheme="minorHAnsi" w:hAnsiTheme="minorHAnsi" w:cstheme="minorHAnsi"/>
          <w:sz w:val="24"/>
          <w:szCs w:val="24"/>
        </w:rPr>
      </w:pPr>
      <w:r w:rsidRPr="009A4C54">
        <w:rPr>
          <w:rFonts w:asciiTheme="minorHAnsi" w:hAnsiTheme="minorHAnsi" w:cstheme="minorHAnsi"/>
          <w:sz w:val="24"/>
          <w:szCs w:val="24"/>
        </w:rPr>
        <w:lastRenderedPageBreak/>
        <w:t xml:space="preserve">Per quanto ci riguarda è altrettanto importante garantire la continuità della discussione sugli aspetti normativi del contratto riferiti ai vari settori oltre che naturalmente la residua parte degli aspetti economici anche riferiti alle ulteriori risorse disponibili per i singoli settori. </w:t>
      </w:r>
    </w:p>
    <w:p w:rsidR="009A4C54" w:rsidRPr="009A4C54" w:rsidRDefault="009A4C54" w:rsidP="009A4C54">
      <w:pPr>
        <w:tabs>
          <w:tab w:val="left" w:pos="2268"/>
        </w:tabs>
        <w:rPr>
          <w:rFonts w:asciiTheme="minorHAnsi" w:hAnsiTheme="minorHAnsi" w:cstheme="minorHAnsi"/>
          <w:sz w:val="24"/>
          <w:szCs w:val="24"/>
        </w:rPr>
      </w:pPr>
    </w:p>
    <w:p w:rsidR="009A4C54" w:rsidRPr="009A4C54" w:rsidRDefault="009A4C54" w:rsidP="009A4C54">
      <w:pPr>
        <w:tabs>
          <w:tab w:val="left" w:pos="2268"/>
        </w:tabs>
        <w:rPr>
          <w:rFonts w:asciiTheme="minorHAnsi" w:hAnsiTheme="minorHAnsi" w:cstheme="minorHAnsi"/>
          <w:sz w:val="24"/>
          <w:szCs w:val="24"/>
        </w:rPr>
      </w:pPr>
    </w:p>
    <w:p w:rsidR="009A4C54" w:rsidRDefault="009A4C54" w:rsidP="009A4C54"/>
    <w:p w:rsidR="003D6618" w:rsidRPr="009A4C54" w:rsidRDefault="003D6618" w:rsidP="009A4C54"/>
    <w:sectPr w:rsidR="003D6618" w:rsidRPr="009A4C54" w:rsidSect="00B371A0">
      <w:footerReference w:type="even" r:id="rId7"/>
      <w:footerReference w:type="default" r:id="rId8"/>
      <w:headerReference w:type="first" r:id="rId9"/>
      <w:footerReference w:type="first" r:id="rId10"/>
      <w:pgSz w:w="11906" w:h="16838"/>
      <w:pgMar w:top="1701" w:right="1418" w:bottom="1701" w:left="1418" w:header="709" w:footer="4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90F" w:rsidRDefault="005E390F">
      <w:r>
        <w:separator/>
      </w:r>
    </w:p>
  </w:endnote>
  <w:endnote w:type="continuationSeparator" w:id="1">
    <w:p w:rsidR="005E390F" w:rsidRDefault="005E39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A0" w:rsidRDefault="007B54DE">
    <w:pPr>
      <w:pStyle w:val="Pidipagina"/>
      <w:framePr w:wrap="around" w:vAnchor="text" w:hAnchor="margin" w:xAlign="center" w:y="1"/>
      <w:rPr>
        <w:rStyle w:val="Numeropagina"/>
      </w:rPr>
    </w:pPr>
    <w:r>
      <w:rPr>
        <w:rStyle w:val="Numeropagina"/>
      </w:rPr>
      <w:fldChar w:fldCharType="begin"/>
    </w:r>
    <w:r w:rsidR="00B371A0">
      <w:rPr>
        <w:rStyle w:val="Numeropagina"/>
      </w:rPr>
      <w:instrText xml:space="preserve">PAGE  </w:instrText>
    </w:r>
    <w:r>
      <w:rPr>
        <w:rStyle w:val="Numeropagina"/>
      </w:rPr>
      <w:fldChar w:fldCharType="end"/>
    </w:r>
  </w:p>
  <w:p w:rsidR="00B371A0" w:rsidRDefault="00B371A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A0" w:rsidRDefault="007B54DE">
    <w:pPr>
      <w:pStyle w:val="Pidipagina"/>
      <w:framePr w:wrap="around" w:vAnchor="text" w:hAnchor="page" w:x="5815" w:y="-421"/>
      <w:jc w:val="center"/>
      <w:rPr>
        <w:rStyle w:val="Numeropagina"/>
        <w:rFonts w:ascii="Arial" w:hAnsi="Arial" w:cs="Arial"/>
      </w:rPr>
    </w:pPr>
    <w:r>
      <w:rPr>
        <w:rStyle w:val="Numeropagina"/>
        <w:rFonts w:ascii="Arial" w:hAnsi="Arial" w:cs="Arial"/>
      </w:rPr>
      <w:fldChar w:fldCharType="begin"/>
    </w:r>
    <w:r w:rsidR="00B371A0">
      <w:rPr>
        <w:rStyle w:val="Numeropagina"/>
        <w:rFonts w:ascii="Arial" w:hAnsi="Arial" w:cs="Arial"/>
      </w:rPr>
      <w:instrText xml:space="preserve">PAGE  </w:instrText>
    </w:r>
    <w:r>
      <w:rPr>
        <w:rStyle w:val="Numeropagina"/>
        <w:rFonts w:ascii="Arial" w:hAnsi="Arial" w:cs="Arial"/>
      </w:rPr>
      <w:fldChar w:fldCharType="separate"/>
    </w:r>
    <w:r w:rsidR="0067340F">
      <w:rPr>
        <w:rStyle w:val="Numeropagina"/>
        <w:rFonts w:ascii="Arial" w:hAnsi="Arial" w:cs="Arial"/>
        <w:noProof/>
      </w:rPr>
      <w:t>2</w:t>
    </w:r>
    <w:r>
      <w:rPr>
        <w:rStyle w:val="Numeropagina"/>
        <w:rFonts w:ascii="Arial" w:hAnsi="Arial" w:cs="Arial"/>
      </w:rPr>
      <w:fldChar w:fldCharType="end"/>
    </w:r>
  </w:p>
  <w:p w:rsidR="00B371A0" w:rsidRDefault="00B371A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1A0" w:rsidRDefault="00B371A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90F" w:rsidRDefault="005E390F">
      <w:r>
        <w:separator/>
      </w:r>
    </w:p>
  </w:footnote>
  <w:footnote w:type="continuationSeparator" w:id="1">
    <w:p w:rsidR="005E390F" w:rsidRDefault="005E3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jc w:val="center"/>
      <w:tblCellMar>
        <w:left w:w="70" w:type="dxa"/>
        <w:right w:w="70" w:type="dxa"/>
      </w:tblCellMar>
      <w:tblLook w:val="0000"/>
    </w:tblPr>
    <w:tblGrid>
      <w:gridCol w:w="2127"/>
      <w:gridCol w:w="1880"/>
      <w:gridCol w:w="2383"/>
      <w:gridCol w:w="1842"/>
      <w:gridCol w:w="2258"/>
    </w:tblGrid>
    <w:tr w:rsidR="004238CB" w:rsidTr="006E5622">
      <w:trPr>
        <w:trHeight w:val="773"/>
        <w:jc w:val="center"/>
      </w:trPr>
      <w:tc>
        <w:tcPr>
          <w:tcW w:w="2127" w:type="dxa"/>
          <w:vAlign w:val="center"/>
        </w:tcPr>
        <w:p w:rsidR="00413BBB" w:rsidRPr="00542EF8" w:rsidRDefault="007E68BF" w:rsidP="00413BBB">
          <w:pPr>
            <w:ind w:left="110" w:hanging="110"/>
            <w:jc w:val="center"/>
            <w:rPr>
              <w:rFonts w:ascii="Arial Narrow" w:hAnsi="Arial Narrow" w:cs="Arial"/>
              <w:b/>
              <w:bCs/>
              <w:sz w:val="16"/>
            </w:rPr>
          </w:pPr>
          <w:r w:rsidRPr="00141AD3">
            <w:rPr>
              <w:noProof/>
              <w:sz w:val="16"/>
              <w:szCs w:val="16"/>
            </w:rPr>
            <w:drawing>
              <wp:inline distT="0" distB="0" distL="0" distR="0">
                <wp:extent cx="1227455" cy="487045"/>
                <wp:effectExtent l="0" t="0" r="0" b="8255"/>
                <wp:docPr id="1" name="Immagine 1" descr="flccgil_marchio_orizzontal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ccgil_marchio_orizzontale_o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7455" cy="487045"/>
                        </a:xfrm>
                        <a:prstGeom prst="rect">
                          <a:avLst/>
                        </a:prstGeom>
                        <a:noFill/>
                        <a:ln>
                          <a:noFill/>
                        </a:ln>
                      </pic:spPr>
                    </pic:pic>
                  </a:graphicData>
                </a:graphic>
              </wp:inline>
            </w:drawing>
          </w:r>
        </w:p>
      </w:tc>
      <w:tc>
        <w:tcPr>
          <w:tcW w:w="1868" w:type="dxa"/>
          <w:vAlign w:val="center"/>
        </w:tcPr>
        <w:p w:rsidR="00413BBB" w:rsidRPr="00D31E98" w:rsidRDefault="007E68BF" w:rsidP="00413BBB">
          <w:pPr>
            <w:jc w:val="center"/>
            <w:rPr>
              <w:rFonts w:ascii="Arial Narrow" w:hAnsi="Arial Narrow" w:cs="Arial"/>
              <w:b/>
              <w:bCs/>
              <w:sz w:val="16"/>
            </w:rPr>
          </w:pPr>
          <w:r w:rsidRPr="00B349E3">
            <w:rPr>
              <w:rFonts w:ascii="Arial Narrow" w:hAnsi="Arial Narrow" w:cs="Arial"/>
              <w:b/>
              <w:bCs/>
              <w:noProof/>
              <w:sz w:val="16"/>
            </w:rPr>
            <w:drawing>
              <wp:inline distT="0" distB="0" distL="0" distR="0">
                <wp:extent cx="1096645" cy="554355"/>
                <wp:effectExtent l="0" t="0" r="8255" b="0"/>
                <wp:docPr id="2" name="Immagine 2" descr="logomarchio_CISL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archio_CISLscuola"/>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6645" cy="554355"/>
                        </a:xfrm>
                        <a:prstGeom prst="rect">
                          <a:avLst/>
                        </a:prstGeom>
                        <a:noFill/>
                        <a:ln>
                          <a:noFill/>
                        </a:ln>
                      </pic:spPr>
                    </pic:pic>
                  </a:graphicData>
                </a:graphic>
              </wp:inline>
            </w:drawing>
          </w:r>
        </w:p>
      </w:tc>
      <w:tc>
        <w:tcPr>
          <w:tcW w:w="2385" w:type="dxa"/>
          <w:vAlign w:val="center"/>
        </w:tcPr>
        <w:p w:rsidR="00413BBB" w:rsidRPr="00542EF8" w:rsidRDefault="007E68BF" w:rsidP="00413BBB">
          <w:pPr>
            <w:jc w:val="center"/>
            <w:rPr>
              <w:rFonts w:ascii="Arial Narrow" w:hAnsi="Arial Narrow" w:cs="Arial"/>
              <w:b/>
              <w:bCs/>
              <w:sz w:val="16"/>
            </w:rPr>
          </w:pPr>
          <w:r w:rsidRPr="00DF0D7F">
            <w:rPr>
              <w:noProof/>
            </w:rPr>
            <w:drawing>
              <wp:inline distT="0" distB="0" distL="0" distR="0">
                <wp:extent cx="1333500" cy="440055"/>
                <wp:effectExtent l="0" t="0" r="0" b="0"/>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440055"/>
                        </a:xfrm>
                        <a:prstGeom prst="rect">
                          <a:avLst/>
                        </a:prstGeom>
                        <a:noFill/>
                        <a:ln>
                          <a:noFill/>
                        </a:ln>
                      </pic:spPr>
                    </pic:pic>
                  </a:graphicData>
                </a:graphic>
              </wp:inline>
            </w:drawing>
          </w:r>
        </w:p>
      </w:tc>
      <w:tc>
        <w:tcPr>
          <w:tcW w:w="1843" w:type="dxa"/>
          <w:vAlign w:val="center"/>
        </w:tcPr>
        <w:p w:rsidR="00413BBB" w:rsidRPr="00760888" w:rsidRDefault="007E68BF" w:rsidP="00413BBB">
          <w:pPr>
            <w:jc w:val="center"/>
            <w:rPr>
              <w:rFonts w:ascii="Arial Narrow" w:hAnsi="Arial Narrow" w:cs="Arial"/>
              <w:b/>
              <w:bCs/>
              <w:sz w:val="16"/>
            </w:rPr>
          </w:pPr>
          <w:r w:rsidRPr="00760888">
            <w:rPr>
              <w:rFonts w:ascii="Arial Narrow" w:hAnsi="Arial Narrow" w:cs="Arial"/>
              <w:b/>
              <w:bCs/>
              <w:noProof/>
              <w:sz w:val="16"/>
            </w:rPr>
            <w:drawing>
              <wp:inline distT="0" distB="0" distL="0" distR="0">
                <wp:extent cx="1054100" cy="579755"/>
                <wp:effectExtent l="0" t="0" r="0" b="0"/>
                <wp:docPr id="4" name="Immagine 4" descr="NuovoLogoSnals_13ott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voLogoSnals_13ott_08"/>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4100" cy="579755"/>
                        </a:xfrm>
                        <a:prstGeom prst="rect">
                          <a:avLst/>
                        </a:prstGeom>
                        <a:noFill/>
                        <a:ln>
                          <a:noFill/>
                        </a:ln>
                      </pic:spPr>
                    </pic:pic>
                  </a:graphicData>
                </a:graphic>
              </wp:inline>
            </w:drawing>
          </w:r>
        </w:p>
      </w:tc>
      <w:tc>
        <w:tcPr>
          <w:tcW w:w="2267" w:type="dxa"/>
          <w:vAlign w:val="center"/>
        </w:tcPr>
        <w:p w:rsidR="00413BBB" w:rsidRPr="00014008" w:rsidRDefault="004238CB" w:rsidP="00413BBB">
          <w:pPr>
            <w:jc w:val="center"/>
          </w:pPr>
          <w:r>
            <w:rPr>
              <w:noProof/>
            </w:rPr>
            <w:drawing>
              <wp:inline distT="0" distB="0" distL="0" distR="0">
                <wp:extent cx="948267" cy="439363"/>
                <wp:effectExtent l="0" t="0" r="444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gilda-2019.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1982" cy="464251"/>
                        </a:xfrm>
                        <a:prstGeom prst="rect">
                          <a:avLst/>
                        </a:prstGeom>
                      </pic:spPr>
                    </pic:pic>
                  </a:graphicData>
                </a:graphic>
              </wp:inline>
            </w:drawing>
          </w:r>
        </w:p>
      </w:tc>
    </w:tr>
    <w:tr w:rsidR="004238CB" w:rsidRPr="003D6AE1" w:rsidTr="006E5622">
      <w:trPr>
        <w:trHeight w:val="130"/>
        <w:jc w:val="center"/>
      </w:trPr>
      <w:tc>
        <w:tcPr>
          <w:tcW w:w="2127" w:type="dxa"/>
        </w:tcPr>
        <w:p w:rsidR="00B371A0" w:rsidRPr="003D6AE1" w:rsidRDefault="00B371A0">
          <w:pPr>
            <w:ind w:left="110" w:hanging="110"/>
            <w:jc w:val="center"/>
            <w:rPr>
              <w:rFonts w:ascii="Arial" w:hAnsi="Arial" w:cs="Arial"/>
              <w:b/>
              <w:bCs/>
              <w:sz w:val="16"/>
              <w:szCs w:val="16"/>
            </w:rPr>
          </w:pPr>
          <w:r w:rsidRPr="003D6AE1">
            <w:rPr>
              <w:rFonts w:ascii="Arial" w:hAnsi="Arial" w:cs="Arial"/>
              <w:b/>
              <w:bCs/>
              <w:sz w:val="16"/>
              <w:szCs w:val="16"/>
            </w:rPr>
            <w:t xml:space="preserve">www.flcgil.it </w:t>
          </w:r>
        </w:p>
      </w:tc>
      <w:tc>
        <w:tcPr>
          <w:tcW w:w="1868" w:type="dxa"/>
        </w:tcPr>
        <w:p w:rsidR="00B371A0" w:rsidRPr="003D6AE1" w:rsidRDefault="00B371A0">
          <w:pPr>
            <w:jc w:val="center"/>
            <w:rPr>
              <w:rFonts w:ascii="Arial" w:hAnsi="Arial" w:cs="Arial"/>
              <w:b/>
              <w:bCs/>
              <w:sz w:val="16"/>
              <w:szCs w:val="16"/>
            </w:rPr>
          </w:pPr>
          <w:r w:rsidRPr="003D6AE1">
            <w:rPr>
              <w:rFonts w:ascii="Arial" w:hAnsi="Arial" w:cs="Arial"/>
              <w:b/>
              <w:bCs/>
              <w:sz w:val="16"/>
              <w:szCs w:val="16"/>
            </w:rPr>
            <w:t>www.cislscuola.it</w:t>
          </w:r>
        </w:p>
      </w:tc>
      <w:tc>
        <w:tcPr>
          <w:tcW w:w="2385" w:type="dxa"/>
        </w:tcPr>
        <w:p w:rsidR="00B371A0" w:rsidRPr="003D6AE1" w:rsidRDefault="00B371A0">
          <w:pPr>
            <w:jc w:val="center"/>
            <w:rPr>
              <w:rFonts w:ascii="Arial" w:hAnsi="Arial" w:cs="Arial"/>
              <w:b/>
              <w:bCs/>
              <w:sz w:val="16"/>
              <w:szCs w:val="16"/>
            </w:rPr>
          </w:pPr>
          <w:r w:rsidRPr="003D6AE1">
            <w:rPr>
              <w:rFonts w:ascii="Arial" w:hAnsi="Arial" w:cs="Arial"/>
              <w:b/>
              <w:bCs/>
              <w:sz w:val="16"/>
              <w:szCs w:val="16"/>
            </w:rPr>
            <w:t>www.uilscuola.it</w:t>
          </w:r>
        </w:p>
      </w:tc>
      <w:tc>
        <w:tcPr>
          <w:tcW w:w="1843" w:type="dxa"/>
        </w:tcPr>
        <w:p w:rsidR="00B371A0" w:rsidRPr="003D6AE1" w:rsidRDefault="00B371A0" w:rsidP="00650BFE">
          <w:pPr>
            <w:jc w:val="center"/>
            <w:rPr>
              <w:rFonts w:ascii="Arial" w:hAnsi="Arial" w:cs="Arial"/>
              <w:b/>
              <w:bCs/>
              <w:sz w:val="16"/>
              <w:szCs w:val="16"/>
            </w:rPr>
          </w:pPr>
          <w:r w:rsidRPr="003D6AE1">
            <w:rPr>
              <w:rFonts w:ascii="Arial" w:hAnsi="Arial" w:cs="Arial"/>
              <w:b/>
              <w:bCs/>
              <w:sz w:val="16"/>
              <w:szCs w:val="16"/>
            </w:rPr>
            <w:t>www.snals.it</w:t>
          </w:r>
        </w:p>
      </w:tc>
      <w:tc>
        <w:tcPr>
          <w:tcW w:w="2267" w:type="dxa"/>
        </w:tcPr>
        <w:p w:rsidR="00B371A0" w:rsidRPr="003D6AE1" w:rsidRDefault="00B371A0" w:rsidP="00A6393B">
          <w:pPr>
            <w:jc w:val="center"/>
            <w:rPr>
              <w:rFonts w:ascii="Arial" w:hAnsi="Arial" w:cs="Arial"/>
              <w:b/>
              <w:bCs/>
              <w:sz w:val="16"/>
              <w:szCs w:val="16"/>
            </w:rPr>
          </w:pPr>
          <w:r w:rsidRPr="003D6AE1">
            <w:rPr>
              <w:rFonts w:ascii="Arial" w:hAnsi="Arial" w:cs="Arial"/>
              <w:b/>
              <w:iCs/>
              <w:sz w:val="16"/>
              <w:szCs w:val="16"/>
            </w:rPr>
            <w:t>www.gilda</w:t>
          </w:r>
          <w:r w:rsidR="00A6393B">
            <w:rPr>
              <w:rFonts w:ascii="Arial" w:hAnsi="Arial" w:cs="Arial"/>
              <w:b/>
              <w:iCs/>
              <w:sz w:val="16"/>
              <w:szCs w:val="16"/>
            </w:rPr>
            <w:t>-unam</w:t>
          </w:r>
          <w:r w:rsidRPr="003D6AE1">
            <w:rPr>
              <w:rFonts w:ascii="Arial" w:hAnsi="Arial" w:cs="Arial"/>
              <w:b/>
              <w:iCs/>
              <w:sz w:val="16"/>
              <w:szCs w:val="16"/>
            </w:rPr>
            <w:t>s.it</w:t>
          </w:r>
        </w:p>
      </w:tc>
    </w:tr>
    <w:tr w:rsidR="004238CB" w:rsidRPr="00157F1E" w:rsidTr="006E5622">
      <w:trPr>
        <w:trHeight w:val="231"/>
        <w:jc w:val="center"/>
      </w:trPr>
      <w:tc>
        <w:tcPr>
          <w:tcW w:w="2127" w:type="dxa"/>
        </w:tcPr>
        <w:p w:rsidR="00B371A0" w:rsidRPr="00157F1E" w:rsidRDefault="00B371A0">
          <w:pPr>
            <w:pStyle w:val="NormaleWeb"/>
            <w:spacing w:before="0" w:beforeAutospacing="0" w:after="0" w:afterAutospacing="0"/>
            <w:jc w:val="center"/>
            <w:rPr>
              <w:rFonts w:ascii="Arial" w:hAnsi="Arial" w:cs="Arial"/>
              <w:sz w:val="12"/>
              <w:szCs w:val="12"/>
            </w:rPr>
          </w:pPr>
          <w:r w:rsidRPr="00157F1E">
            <w:rPr>
              <w:rFonts w:ascii="Arial" w:hAnsi="Arial" w:cs="Arial"/>
              <w:sz w:val="12"/>
              <w:szCs w:val="12"/>
            </w:rPr>
            <w:t>e-mail: organizzazione@flcgil.it</w:t>
          </w:r>
        </w:p>
      </w:tc>
      <w:tc>
        <w:tcPr>
          <w:tcW w:w="1868" w:type="dxa"/>
        </w:tcPr>
        <w:p w:rsidR="00B371A0" w:rsidRPr="00157F1E" w:rsidRDefault="00B371A0">
          <w:pPr>
            <w:jc w:val="center"/>
            <w:rPr>
              <w:rFonts w:ascii="Arial" w:hAnsi="Arial" w:cs="Arial"/>
              <w:sz w:val="12"/>
              <w:szCs w:val="12"/>
            </w:rPr>
          </w:pPr>
          <w:r w:rsidRPr="00157F1E">
            <w:rPr>
              <w:rFonts w:ascii="Arial" w:hAnsi="Arial" w:cs="Arial"/>
              <w:sz w:val="12"/>
              <w:szCs w:val="12"/>
            </w:rPr>
            <w:t>e-mail: cisl.scuola@cisl.it</w:t>
          </w:r>
        </w:p>
      </w:tc>
      <w:tc>
        <w:tcPr>
          <w:tcW w:w="2385" w:type="dxa"/>
        </w:tcPr>
        <w:p w:rsidR="00B371A0" w:rsidRPr="00157F1E" w:rsidRDefault="00B371A0" w:rsidP="00413BBB">
          <w:pPr>
            <w:jc w:val="center"/>
            <w:rPr>
              <w:rFonts w:ascii="Arial" w:hAnsi="Arial" w:cs="Arial"/>
              <w:sz w:val="12"/>
              <w:szCs w:val="12"/>
            </w:rPr>
          </w:pPr>
          <w:r w:rsidRPr="00157F1E">
            <w:rPr>
              <w:rFonts w:ascii="Arial" w:hAnsi="Arial" w:cs="Arial"/>
              <w:sz w:val="12"/>
              <w:szCs w:val="12"/>
            </w:rPr>
            <w:t xml:space="preserve">e-mail: </w:t>
          </w:r>
          <w:r w:rsidR="00413BBB">
            <w:rPr>
              <w:rFonts w:ascii="Arial" w:hAnsi="Arial" w:cs="Arial"/>
              <w:sz w:val="12"/>
              <w:szCs w:val="12"/>
            </w:rPr>
            <w:t>uilscuola</w:t>
          </w:r>
          <w:r w:rsidRPr="00157F1E">
            <w:rPr>
              <w:rFonts w:ascii="Arial" w:hAnsi="Arial" w:cs="Arial"/>
              <w:sz w:val="12"/>
              <w:szCs w:val="12"/>
            </w:rPr>
            <w:t>@uilscuola.it</w:t>
          </w:r>
        </w:p>
      </w:tc>
      <w:tc>
        <w:tcPr>
          <w:tcW w:w="1843" w:type="dxa"/>
        </w:tcPr>
        <w:p w:rsidR="00B371A0" w:rsidRPr="00157F1E" w:rsidRDefault="00B371A0" w:rsidP="00650BFE">
          <w:pPr>
            <w:jc w:val="center"/>
            <w:rPr>
              <w:rFonts w:ascii="Arial" w:hAnsi="Arial" w:cs="Arial"/>
              <w:sz w:val="12"/>
              <w:szCs w:val="12"/>
            </w:rPr>
          </w:pPr>
          <w:r w:rsidRPr="00157F1E">
            <w:rPr>
              <w:rFonts w:ascii="Arial" w:hAnsi="Arial" w:cs="Arial"/>
              <w:sz w:val="12"/>
              <w:szCs w:val="12"/>
            </w:rPr>
            <w:t>e-mail:info@snals.it</w:t>
          </w:r>
        </w:p>
      </w:tc>
      <w:tc>
        <w:tcPr>
          <w:tcW w:w="2267" w:type="dxa"/>
        </w:tcPr>
        <w:p w:rsidR="00B371A0" w:rsidRPr="00157F1E" w:rsidRDefault="00B371A0" w:rsidP="000003FF">
          <w:pPr>
            <w:jc w:val="center"/>
            <w:rPr>
              <w:rFonts w:ascii="Arial" w:hAnsi="Arial" w:cs="Arial"/>
              <w:sz w:val="12"/>
              <w:szCs w:val="12"/>
            </w:rPr>
          </w:pPr>
          <w:r w:rsidRPr="00157F1E">
            <w:rPr>
              <w:rFonts w:ascii="Arial" w:hAnsi="Arial" w:cs="Arial"/>
              <w:iCs/>
              <w:sz w:val="12"/>
              <w:szCs w:val="12"/>
            </w:rPr>
            <w:t>e-mail:</w:t>
          </w:r>
          <w:r w:rsidR="000003FF" w:rsidRPr="000003FF">
            <w:rPr>
              <w:rFonts w:ascii="Arial" w:hAnsi="Arial" w:cs="Arial"/>
              <w:iCs/>
              <w:sz w:val="12"/>
              <w:szCs w:val="12"/>
            </w:rPr>
            <w:t>organizzazione</w:t>
          </w:r>
          <w:r w:rsidRPr="00157F1E">
            <w:rPr>
              <w:rFonts w:ascii="Arial" w:hAnsi="Arial" w:cs="Arial"/>
              <w:iCs/>
              <w:sz w:val="12"/>
              <w:szCs w:val="12"/>
            </w:rPr>
            <w:t>@gilda</w:t>
          </w:r>
          <w:r w:rsidR="00194C11">
            <w:rPr>
              <w:rFonts w:ascii="Arial" w:hAnsi="Arial" w:cs="Arial"/>
              <w:iCs/>
              <w:sz w:val="12"/>
              <w:szCs w:val="12"/>
            </w:rPr>
            <w:t>-unam</w:t>
          </w:r>
          <w:r w:rsidRPr="00157F1E">
            <w:rPr>
              <w:rFonts w:ascii="Arial" w:hAnsi="Arial" w:cs="Arial"/>
              <w:iCs/>
              <w:sz w:val="12"/>
              <w:szCs w:val="12"/>
            </w:rPr>
            <w:t>s.it</w:t>
          </w:r>
        </w:p>
      </w:tc>
    </w:tr>
  </w:tbl>
  <w:p w:rsidR="00B371A0" w:rsidRDefault="00B371A0" w:rsidP="00542EF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029AE"/>
    <w:multiLevelType w:val="hybridMultilevel"/>
    <w:tmpl w:val="52784BAE"/>
    <w:lvl w:ilvl="0" w:tplc="0410000B">
      <w:start w:val="1"/>
      <w:numFmt w:val="bullet"/>
      <w:lvlText w:val=""/>
      <w:lvlJc w:val="left"/>
      <w:pPr>
        <w:tabs>
          <w:tab w:val="num" w:pos="1485"/>
        </w:tabs>
        <w:ind w:left="1485" w:hanging="360"/>
      </w:pPr>
      <w:rPr>
        <w:rFonts w:ascii="Wingdings" w:hAnsi="Wingdings" w:cs="Times New Roman" w:hint="default"/>
      </w:rPr>
    </w:lvl>
    <w:lvl w:ilvl="1" w:tplc="04100003">
      <w:start w:val="1"/>
      <w:numFmt w:val="bullet"/>
      <w:lvlText w:val="o"/>
      <w:lvlJc w:val="left"/>
      <w:pPr>
        <w:tabs>
          <w:tab w:val="num" w:pos="2205"/>
        </w:tabs>
        <w:ind w:left="2205" w:hanging="360"/>
      </w:pPr>
      <w:rPr>
        <w:rFonts w:ascii="Courier New" w:hAnsi="Courier New" w:cs="Courier New" w:hint="default"/>
      </w:rPr>
    </w:lvl>
    <w:lvl w:ilvl="2" w:tplc="04100005">
      <w:start w:val="1"/>
      <w:numFmt w:val="bullet"/>
      <w:lvlText w:val=""/>
      <w:lvlJc w:val="left"/>
      <w:pPr>
        <w:tabs>
          <w:tab w:val="num" w:pos="2925"/>
        </w:tabs>
        <w:ind w:left="2925" w:hanging="360"/>
      </w:pPr>
      <w:rPr>
        <w:rFonts w:ascii="Wingdings" w:hAnsi="Wingdings" w:cs="Times New Roman" w:hint="default"/>
      </w:rPr>
    </w:lvl>
    <w:lvl w:ilvl="3" w:tplc="04100001">
      <w:start w:val="1"/>
      <w:numFmt w:val="bullet"/>
      <w:lvlText w:val=""/>
      <w:lvlJc w:val="left"/>
      <w:pPr>
        <w:tabs>
          <w:tab w:val="num" w:pos="3645"/>
        </w:tabs>
        <w:ind w:left="3645" w:hanging="360"/>
      </w:pPr>
      <w:rPr>
        <w:rFonts w:ascii="Symbol" w:hAnsi="Symbol" w:cs="Times New Roman" w:hint="default"/>
      </w:rPr>
    </w:lvl>
    <w:lvl w:ilvl="4" w:tplc="04100003">
      <w:start w:val="1"/>
      <w:numFmt w:val="bullet"/>
      <w:lvlText w:val="o"/>
      <w:lvlJc w:val="left"/>
      <w:pPr>
        <w:tabs>
          <w:tab w:val="num" w:pos="4365"/>
        </w:tabs>
        <w:ind w:left="4365" w:hanging="360"/>
      </w:pPr>
      <w:rPr>
        <w:rFonts w:ascii="Courier New" w:hAnsi="Courier New" w:cs="Courier New" w:hint="default"/>
      </w:rPr>
    </w:lvl>
    <w:lvl w:ilvl="5" w:tplc="04100005">
      <w:start w:val="1"/>
      <w:numFmt w:val="bullet"/>
      <w:lvlText w:val=""/>
      <w:lvlJc w:val="left"/>
      <w:pPr>
        <w:tabs>
          <w:tab w:val="num" w:pos="5085"/>
        </w:tabs>
        <w:ind w:left="5085" w:hanging="360"/>
      </w:pPr>
      <w:rPr>
        <w:rFonts w:ascii="Wingdings" w:hAnsi="Wingdings" w:cs="Times New Roman" w:hint="default"/>
      </w:rPr>
    </w:lvl>
    <w:lvl w:ilvl="6" w:tplc="04100001">
      <w:start w:val="1"/>
      <w:numFmt w:val="bullet"/>
      <w:lvlText w:val=""/>
      <w:lvlJc w:val="left"/>
      <w:pPr>
        <w:tabs>
          <w:tab w:val="num" w:pos="5805"/>
        </w:tabs>
        <w:ind w:left="5805" w:hanging="360"/>
      </w:pPr>
      <w:rPr>
        <w:rFonts w:ascii="Symbol" w:hAnsi="Symbol" w:cs="Times New Roman" w:hint="default"/>
      </w:rPr>
    </w:lvl>
    <w:lvl w:ilvl="7" w:tplc="04100003">
      <w:start w:val="1"/>
      <w:numFmt w:val="bullet"/>
      <w:lvlText w:val="o"/>
      <w:lvlJc w:val="left"/>
      <w:pPr>
        <w:tabs>
          <w:tab w:val="num" w:pos="6525"/>
        </w:tabs>
        <w:ind w:left="6525" w:hanging="360"/>
      </w:pPr>
      <w:rPr>
        <w:rFonts w:ascii="Courier New" w:hAnsi="Courier New" w:cs="Courier New" w:hint="default"/>
      </w:rPr>
    </w:lvl>
    <w:lvl w:ilvl="8" w:tplc="04100005">
      <w:start w:val="1"/>
      <w:numFmt w:val="bullet"/>
      <w:lvlText w:val=""/>
      <w:lvlJc w:val="left"/>
      <w:pPr>
        <w:tabs>
          <w:tab w:val="num" w:pos="7245"/>
        </w:tabs>
        <w:ind w:left="7245" w:hanging="360"/>
      </w:pPr>
      <w:rPr>
        <w:rFonts w:ascii="Wingdings" w:hAnsi="Wingdings" w:cs="Times New Roman" w:hint="default"/>
      </w:rPr>
    </w:lvl>
  </w:abstractNum>
  <w:abstractNum w:abstractNumId="1">
    <w:nsid w:val="1B1F290F"/>
    <w:multiLevelType w:val="hybridMultilevel"/>
    <w:tmpl w:val="B58EA648"/>
    <w:lvl w:ilvl="0" w:tplc="04100005">
      <w:start w:val="1"/>
      <w:numFmt w:val="bullet"/>
      <w:lvlText w:val=""/>
      <w:lvlJc w:val="left"/>
      <w:pPr>
        <w:tabs>
          <w:tab w:val="num" w:pos="720"/>
        </w:tabs>
        <w:ind w:left="720" w:hanging="360"/>
      </w:pPr>
      <w:rPr>
        <w:rFonts w:ascii="Wingdings"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
    <w:nsid w:val="3F665BF9"/>
    <w:multiLevelType w:val="hybridMultilevel"/>
    <w:tmpl w:val="71AEA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F54A11"/>
    <w:multiLevelType w:val="hybridMultilevel"/>
    <w:tmpl w:val="45A8BD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C396DD4"/>
    <w:multiLevelType w:val="hybridMultilevel"/>
    <w:tmpl w:val="E716E3FE"/>
    <w:lvl w:ilvl="0" w:tplc="B0AA1856">
      <w:numFmt w:val="bullet"/>
      <w:lvlText w:val="-"/>
      <w:lvlJc w:val="left"/>
      <w:pPr>
        <w:ind w:left="720" w:hanging="360"/>
      </w:pPr>
      <w:rPr>
        <w:rFonts w:ascii="Arial Narrow" w:eastAsia="Arial Unicode MS" w:hAnsi="Arial Narrow" w:cs="Arial Unicode M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67E577FB"/>
    <w:multiLevelType w:val="hybridMultilevel"/>
    <w:tmpl w:val="3112DB7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6F695865"/>
    <w:multiLevelType w:val="hybridMultilevel"/>
    <w:tmpl w:val="B7CA6D64"/>
    <w:lvl w:ilvl="0" w:tplc="04100001">
      <w:start w:val="1"/>
      <w:numFmt w:val="bullet"/>
      <w:lvlText w:val=""/>
      <w:lvlJc w:val="left"/>
      <w:pPr>
        <w:ind w:left="295" w:hanging="360"/>
      </w:pPr>
      <w:rPr>
        <w:rFonts w:ascii="Symbol" w:hAnsi="Symbol" w:hint="default"/>
      </w:rPr>
    </w:lvl>
    <w:lvl w:ilvl="1" w:tplc="04100003" w:tentative="1">
      <w:start w:val="1"/>
      <w:numFmt w:val="bullet"/>
      <w:lvlText w:val="o"/>
      <w:lvlJc w:val="left"/>
      <w:pPr>
        <w:ind w:left="1015" w:hanging="360"/>
      </w:pPr>
      <w:rPr>
        <w:rFonts w:ascii="Courier New" w:hAnsi="Courier New" w:cs="Courier New" w:hint="default"/>
      </w:rPr>
    </w:lvl>
    <w:lvl w:ilvl="2" w:tplc="04100005" w:tentative="1">
      <w:start w:val="1"/>
      <w:numFmt w:val="bullet"/>
      <w:lvlText w:val=""/>
      <w:lvlJc w:val="left"/>
      <w:pPr>
        <w:ind w:left="1735" w:hanging="360"/>
      </w:pPr>
      <w:rPr>
        <w:rFonts w:ascii="Wingdings" w:hAnsi="Wingdings" w:hint="default"/>
      </w:rPr>
    </w:lvl>
    <w:lvl w:ilvl="3" w:tplc="04100001" w:tentative="1">
      <w:start w:val="1"/>
      <w:numFmt w:val="bullet"/>
      <w:lvlText w:val=""/>
      <w:lvlJc w:val="left"/>
      <w:pPr>
        <w:ind w:left="2455" w:hanging="360"/>
      </w:pPr>
      <w:rPr>
        <w:rFonts w:ascii="Symbol" w:hAnsi="Symbol" w:hint="default"/>
      </w:rPr>
    </w:lvl>
    <w:lvl w:ilvl="4" w:tplc="04100003" w:tentative="1">
      <w:start w:val="1"/>
      <w:numFmt w:val="bullet"/>
      <w:lvlText w:val="o"/>
      <w:lvlJc w:val="left"/>
      <w:pPr>
        <w:ind w:left="3175" w:hanging="360"/>
      </w:pPr>
      <w:rPr>
        <w:rFonts w:ascii="Courier New" w:hAnsi="Courier New" w:cs="Courier New" w:hint="default"/>
      </w:rPr>
    </w:lvl>
    <w:lvl w:ilvl="5" w:tplc="04100005" w:tentative="1">
      <w:start w:val="1"/>
      <w:numFmt w:val="bullet"/>
      <w:lvlText w:val=""/>
      <w:lvlJc w:val="left"/>
      <w:pPr>
        <w:ind w:left="3895" w:hanging="360"/>
      </w:pPr>
      <w:rPr>
        <w:rFonts w:ascii="Wingdings" w:hAnsi="Wingdings" w:hint="default"/>
      </w:rPr>
    </w:lvl>
    <w:lvl w:ilvl="6" w:tplc="04100001" w:tentative="1">
      <w:start w:val="1"/>
      <w:numFmt w:val="bullet"/>
      <w:lvlText w:val=""/>
      <w:lvlJc w:val="left"/>
      <w:pPr>
        <w:ind w:left="4615" w:hanging="360"/>
      </w:pPr>
      <w:rPr>
        <w:rFonts w:ascii="Symbol" w:hAnsi="Symbol" w:hint="default"/>
      </w:rPr>
    </w:lvl>
    <w:lvl w:ilvl="7" w:tplc="04100003" w:tentative="1">
      <w:start w:val="1"/>
      <w:numFmt w:val="bullet"/>
      <w:lvlText w:val="o"/>
      <w:lvlJc w:val="left"/>
      <w:pPr>
        <w:ind w:left="5335" w:hanging="360"/>
      </w:pPr>
      <w:rPr>
        <w:rFonts w:ascii="Courier New" w:hAnsi="Courier New" w:cs="Courier New" w:hint="default"/>
      </w:rPr>
    </w:lvl>
    <w:lvl w:ilvl="8" w:tplc="04100005" w:tentative="1">
      <w:start w:val="1"/>
      <w:numFmt w:val="bullet"/>
      <w:lvlText w:val=""/>
      <w:lvlJc w:val="left"/>
      <w:pPr>
        <w:ind w:left="6055" w:hanging="360"/>
      </w:pPr>
      <w:rPr>
        <w:rFonts w:ascii="Wingdings" w:hAnsi="Wingdings" w:hint="default"/>
      </w:rPr>
    </w:lvl>
  </w:abstractNum>
  <w:abstractNum w:abstractNumId="7">
    <w:nsid w:val="7E531D39"/>
    <w:multiLevelType w:val="hybridMultilevel"/>
    <w:tmpl w:val="91141A9A"/>
    <w:lvl w:ilvl="0" w:tplc="B0AA1856">
      <w:numFmt w:val="bullet"/>
      <w:lvlText w:val="-"/>
      <w:lvlJc w:val="left"/>
      <w:pPr>
        <w:ind w:left="295" w:hanging="360"/>
      </w:pPr>
      <w:rPr>
        <w:rFonts w:ascii="Arial Narrow" w:eastAsia="Arial Unicode MS" w:hAnsi="Arial Narrow" w:cs="Arial Unicode MS" w:hint="default"/>
      </w:rPr>
    </w:lvl>
    <w:lvl w:ilvl="1" w:tplc="04100003" w:tentative="1">
      <w:start w:val="1"/>
      <w:numFmt w:val="bullet"/>
      <w:lvlText w:val="o"/>
      <w:lvlJc w:val="left"/>
      <w:pPr>
        <w:ind w:left="1015" w:hanging="360"/>
      </w:pPr>
      <w:rPr>
        <w:rFonts w:ascii="Courier New" w:hAnsi="Courier New" w:cs="Courier New" w:hint="default"/>
      </w:rPr>
    </w:lvl>
    <w:lvl w:ilvl="2" w:tplc="04100005" w:tentative="1">
      <w:start w:val="1"/>
      <w:numFmt w:val="bullet"/>
      <w:lvlText w:val=""/>
      <w:lvlJc w:val="left"/>
      <w:pPr>
        <w:ind w:left="1735" w:hanging="360"/>
      </w:pPr>
      <w:rPr>
        <w:rFonts w:ascii="Wingdings" w:hAnsi="Wingdings" w:hint="default"/>
      </w:rPr>
    </w:lvl>
    <w:lvl w:ilvl="3" w:tplc="04100001" w:tentative="1">
      <w:start w:val="1"/>
      <w:numFmt w:val="bullet"/>
      <w:lvlText w:val=""/>
      <w:lvlJc w:val="left"/>
      <w:pPr>
        <w:ind w:left="2455" w:hanging="360"/>
      </w:pPr>
      <w:rPr>
        <w:rFonts w:ascii="Symbol" w:hAnsi="Symbol" w:hint="default"/>
      </w:rPr>
    </w:lvl>
    <w:lvl w:ilvl="4" w:tplc="04100003" w:tentative="1">
      <w:start w:val="1"/>
      <w:numFmt w:val="bullet"/>
      <w:lvlText w:val="o"/>
      <w:lvlJc w:val="left"/>
      <w:pPr>
        <w:ind w:left="3175" w:hanging="360"/>
      </w:pPr>
      <w:rPr>
        <w:rFonts w:ascii="Courier New" w:hAnsi="Courier New" w:cs="Courier New" w:hint="default"/>
      </w:rPr>
    </w:lvl>
    <w:lvl w:ilvl="5" w:tplc="04100005" w:tentative="1">
      <w:start w:val="1"/>
      <w:numFmt w:val="bullet"/>
      <w:lvlText w:val=""/>
      <w:lvlJc w:val="left"/>
      <w:pPr>
        <w:ind w:left="3895" w:hanging="360"/>
      </w:pPr>
      <w:rPr>
        <w:rFonts w:ascii="Wingdings" w:hAnsi="Wingdings" w:hint="default"/>
      </w:rPr>
    </w:lvl>
    <w:lvl w:ilvl="6" w:tplc="04100001" w:tentative="1">
      <w:start w:val="1"/>
      <w:numFmt w:val="bullet"/>
      <w:lvlText w:val=""/>
      <w:lvlJc w:val="left"/>
      <w:pPr>
        <w:ind w:left="4615" w:hanging="360"/>
      </w:pPr>
      <w:rPr>
        <w:rFonts w:ascii="Symbol" w:hAnsi="Symbol" w:hint="default"/>
      </w:rPr>
    </w:lvl>
    <w:lvl w:ilvl="7" w:tplc="04100003" w:tentative="1">
      <w:start w:val="1"/>
      <w:numFmt w:val="bullet"/>
      <w:lvlText w:val="o"/>
      <w:lvlJc w:val="left"/>
      <w:pPr>
        <w:ind w:left="5335" w:hanging="360"/>
      </w:pPr>
      <w:rPr>
        <w:rFonts w:ascii="Courier New" w:hAnsi="Courier New" w:cs="Courier New" w:hint="default"/>
      </w:rPr>
    </w:lvl>
    <w:lvl w:ilvl="8" w:tplc="04100005" w:tentative="1">
      <w:start w:val="1"/>
      <w:numFmt w:val="bullet"/>
      <w:lvlText w:val=""/>
      <w:lvlJc w:val="left"/>
      <w:pPr>
        <w:ind w:left="6055"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hdrShapeDefaults>
    <o:shapedefaults v:ext="edit" spidmax="4098"/>
  </w:hdrShapeDefaults>
  <w:footnotePr>
    <w:footnote w:id="0"/>
    <w:footnote w:id="1"/>
  </w:footnotePr>
  <w:endnotePr>
    <w:endnote w:id="0"/>
    <w:endnote w:id="1"/>
  </w:endnotePr>
  <w:compat/>
  <w:rsids>
    <w:rsidRoot w:val="000612C7"/>
    <w:rsid w:val="000003FF"/>
    <w:rsid w:val="00002474"/>
    <w:rsid w:val="00004CAD"/>
    <w:rsid w:val="00014008"/>
    <w:rsid w:val="000612C7"/>
    <w:rsid w:val="00083ED2"/>
    <w:rsid w:val="000853D5"/>
    <w:rsid w:val="00085997"/>
    <w:rsid w:val="0009373C"/>
    <w:rsid w:val="000C471E"/>
    <w:rsid w:val="000D3624"/>
    <w:rsid w:val="0010491E"/>
    <w:rsid w:val="00120B1E"/>
    <w:rsid w:val="00157F1E"/>
    <w:rsid w:val="001704F9"/>
    <w:rsid w:val="00194C11"/>
    <w:rsid w:val="001A24B9"/>
    <w:rsid w:val="00204244"/>
    <w:rsid w:val="00244658"/>
    <w:rsid w:val="0026429F"/>
    <w:rsid w:val="002C0DCC"/>
    <w:rsid w:val="00307748"/>
    <w:rsid w:val="00357048"/>
    <w:rsid w:val="0036263F"/>
    <w:rsid w:val="00370530"/>
    <w:rsid w:val="00371036"/>
    <w:rsid w:val="0039005E"/>
    <w:rsid w:val="003C43B1"/>
    <w:rsid w:val="003D6618"/>
    <w:rsid w:val="003D6AE1"/>
    <w:rsid w:val="003E5044"/>
    <w:rsid w:val="00400577"/>
    <w:rsid w:val="0041122E"/>
    <w:rsid w:val="00413083"/>
    <w:rsid w:val="004139F9"/>
    <w:rsid w:val="00413BBB"/>
    <w:rsid w:val="004238CB"/>
    <w:rsid w:val="0047347F"/>
    <w:rsid w:val="00483A28"/>
    <w:rsid w:val="004D0E6F"/>
    <w:rsid w:val="00520CD6"/>
    <w:rsid w:val="00542EF8"/>
    <w:rsid w:val="00563E00"/>
    <w:rsid w:val="00590635"/>
    <w:rsid w:val="005A7BCD"/>
    <w:rsid w:val="005B38B3"/>
    <w:rsid w:val="005B6AC1"/>
    <w:rsid w:val="005C0D5C"/>
    <w:rsid w:val="005D14F7"/>
    <w:rsid w:val="005E390F"/>
    <w:rsid w:val="00615061"/>
    <w:rsid w:val="00615B12"/>
    <w:rsid w:val="006328F6"/>
    <w:rsid w:val="00650BFE"/>
    <w:rsid w:val="006731D4"/>
    <w:rsid w:val="0067340F"/>
    <w:rsid w:val="00687BD5"/>
    <w:rsid w:val="00691819"/>
    <w:rsid w:val="0069747A"/>
    <w:rsid w:val="006A19A4"/>
    <w:rsid w:val="006C6C02"/>
    <w:rsid w:val="006E5622"/>
    <w:rsid w:val="006F3389"/>
    <w:rsid w:val="00702C8A"/>
    <w:rsid w:val="00714817"/>
    <w:rsid w:val="00715644"/>
    <w:rsid w:val="00715941"/>
    <w:rsid w:val="00717927"/>
    <w:rsid w:val="00741FD8"/>
    <w:rsid w:val="00751D2C"/>
    <w:rsid w:val="00760888"/>
    <w:rsid w:val="0076480A"/>
    <w:rsid w:val="007759AA"/>
    <w:rsid w:val="00775A1B"/>
    <w:rsid w:val="0079173D"/>
    <w:rsid w:val="007B54DE"/>
    <w:rsid w:val="007B70C0"/>
    <w:rsid w:val="007C7E75"/>
    <w:rsid w:val="007D50C6"/>
    <w:rsid w:val="007D7D4D"/>
    <w:rsid w:val="007E68BF"/>
    <w:rsid w:val="007F1C64"/>
    <w:rsid w:val="0081726C"/>
    <w:rsid w:val="008951FF"/>
    <w:rsid w:val="00896E72"/>
    <w:rsid w:val="008B7D76"/>
    <w:rsid w:val="008C1F30"/>
    <w:rsid w:val="008D1374"/>
    <w:rsid w:val="008E706A"/>
    <w:rsid w:val="009079DF"/>
    <w:rsid w:val="00924A8A"/>
    <w:rsid w:val="00953944"/>
    <w:rsid w:val="00974A22"/>
    <w:rsid w:val="00995D1F"/>
    <w:rsid w:val="009A4C54"/>
    <w:rsid w:val="009C0BCF"/>
    <w:rsid w:val="009D4A44"/>
    <w:rsid w:val="00A461C5"/>
    <w:rsid w:val="00A565C5"/>
    <w:rsid w:val="00A6393B"/>
    <w:rsid w:val="00A853E9"/>
    <w:rsid w:val="00AD0E48"/>
    <w:rsid w:val="00AF03EB"/>
    <w:rsid w:val="00B371A0"/>
    <w:rsid w:val="00B537B6"/>
    <w:rsid w:val="00B60ABC"/>
    <w:rsid w:val="00B84AA4"/>
    <w:rsid w:val="00B87C5C"/>
    <w:rsid w:val="00CE49BB"/>
    <w:rsid w:val="00D02308"/>
    <w:rsid w:val="00D04C81"/>
    <w:rsid w:val="00D11C60"/>
    <w:rsid w:val="00D22F5C"/>
    <w:rsid w:val="00D31E98"/>
    <w:rsid w:val="00D433F8"/>
    <w:rsid w:val="00D6666B"/>
    <w:rsid w:val="00D71008"/>
    <w:rsid w:val="00D7224A"/>
    <w:rsid w:val="00E17A5A"/>
    <w:rsid w:val="00E905B9"/>
    <w:rsid w:val="00E92BB9"/>
    <w:rsid w:val="00EB799D"/>
    <w:rsid w:val="00F1334A"/>
    <w:rsid w:val="00FB0811"/>
    <w:rsid w:val="00FC688B"/>
    <w:rsid w:val="00FE6AB1"/>
    <w:rsid w:val="00FE6E53"/>
    <w:rsid w:val="00FF074D"/>
    <w:rsid w:val="00FF36D6"/>
    <w:rsid w:val="00FF516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B54DE"/>
  </w:style>
  <w:style w:type="paragraph" w:styleId="Titolo1">
    <w:name w:val="heading 1"/>
    <w:basedOn w:val="Normale"/>
    <w:next w:val="Normale"/>
    <w:qFormat/>
    <w:rsid w:val="007B54DE"/>
    <w:pPr>
      <w:keepNext/>
      <w:jc w:val="both"/>
      <w:outlineLvl w:val="0"/>
    </w:pPr>
    <w:rPr>
      <w:b/>
    </w:rPr>
  </w:style>
  <w:style w:type="paragraph" w:styleId="Titolo2">
    <w:name w:val="heading 2"/>
    <w:basedOn w:val="Normale"/>
    <w:next w:val="Normale"/>
    <w:qFormat/>
    <w:rsid w:val="007B54DE"/>
    <w:pPr>
      <w:keepNext/>
      <w:jc w:val="both"/>
      <w:outlineLvl w:val="1"/>
    </w:pPr>
    <w:rPr>
      <w:rFonts w:ascii="Arial" w:hAnsi="Arial" w:cs="Arial"/>
      <w:b/>
      <w:bCs/>
      <w:sz w:val="32"/>
    </w:rPr>
  </w:style>
  <w:style w:type="paragraph" w:styleId="Titolo3">
    <w:name w:val="heading 3"/>
    <w:basedOn w:val="Normale"/>
    <w:next w:val="Normale"/>
    <w:qFormat/>
    <w:rsid w:val="007B54DE"/>
    <w:pPr>
      <w:keepNext/>
      <w:outlineLvl w:val="2"/>
    </w:pPr>
    <w:rPr>
      <w:rFonts w:ascii="Arial" w:hAnsi="Arial" w:cs="Arial"/>
    </w:rPr>
  </w:style>
  <w:style w:type="paragraph" w:styleId="Titolo4">
    <w:name w:val="heading 4"/>
    <w:basedOn w:val="Normale"/>
    <w:next w:val="Normale"/>
    <w:qFormat/>
    <w:rsid w:val="007B54DE"/>
    <w:pPr>
      <w:keepNext/>
      <w:jc w:val="right"/>
      <w:outlineLvl w:val="3"/>
    </w:pPr>
  </w:style>
  <w:style w:type="paragraph" w:styleId="Titolo5">
    <w:name w:val="heading 5"/>
    <w:basedOn w:val="Normale"/>
    <w:next w:val="Normale"/>
    <w:qFormat/>
    <w:rsid w:val="007B54DE"/>
    <w:pPr>
      <w:keepNext/>
      <w:jc w:val="center"/>
      <w:outlineLvl w:val="4"/>
    </w:pPr>
  </w:style>
  <w:style w:type="paragraph" w:styleId="Titolo7">
    <w:name w:val="heading 7"/>
    <w:basedOn w:val="Normale"/>
    <w:next w:val="Normale"/>
    <w:qFormat/>
    <w:rsid w:val="007B54DE"/>
    <w:pPr>
      <w:keepNext/>
      <w:jc w:val="center"/>
      <w:outlineLvl w:val="6"/>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qFormat/>
    <w:rsid w:val="007B54DE"/>
    <w:pPr>
      <w:spacing w:before="100" w:beforeAutospacing="1" w:after="100" w:afterAutospacing="1"/>
    </w:pPr>
  </w:style>
  <w:style w:type="character" w:customStyle="1" w:styleId="spelle">
    <w:name w:val="spelle"/>
    <w:basedOn w:val="Carpredefinitoparagrafo"/>
    <w:rsid w:val="007B54DE"/>
  </w:style>
  <w:style w:type="character" w:styleId="Collegamentoipertestuale">
    <w:name w:val="Hyperlink"/>
    <w:rsid w:val="007B54DE"/>
    <w:rPr>
      <w:color w:val="0000FF"/>
      <w:u w:val="single"/>
    </w:rPr>
  </w:style>
  <w:style w:type="paragraph" w:styleId="Intestazione">
    <w:name w:val="header"/>
    <w:basedOn w:val="Normale"/>
    <w:rsid w:val="007B54DE"/>
    <w:pPr>
      <w:tabs>
        <w:tab w:val="center" w:pos="4819"/>
        <w:tab w:val="right" w:pos="9638"/>
      </w:tabs>
    </w:pPr>
  </w:style>
  <w:style w:type="paragraph" w:styleId="Pidipagina">
    <w:name w:val="footer"/>
    <w:basedOn w:val="Normale"/>
    <w:rsid w:val="007B54DE"/>
    <w:pPr>
      <w:tabs>
        <w:tab w:val="center" w:pos="4819"/>
        <w:tab w:val="right" w:pos="9638"/>
      </w:tabs>
    </w:pPr>
  </w:style>
  <w:style w:type="character" w:customStyle="1" w:styleId="stile11">
    <w:name w:val="stile11"/>
    <w:rsid w:val="007B54DE"/>
    <w:rPr>
      <w:rFonts w:ascii="Arial" w:hAnsi="Arial" w:cs="Arial" w:hint="default"/>
    </w:rPr>
  </w:style>
  <w:style w:type="paragraph" w:styleId="Testofumetto">
    <w:name w:val="Balloon Text"/>
    <w:basedOn w:val="Normale"/>
    <w:semiHidden/>
    <w:rsid w:val="007B54DE"/>
    <w:rPr>
      <w:rFonts w:ascii="Tahoma" w:hAnsi="Tahoma" w:cs="Tahoma"/>
      <w:sz w:val="16"/>
      <w:szCs w:val="16"/>
    </w:rPr>
  </w:style>
  <w:style w:type="character" w:styleId="Numeropagina">
    <w:name w:val="page number"/>
    <w:basedOn w:val="Carpredefinitoparagrafo"/>
    <w:rsid w:val="007B54DE"/>
  </w:style>
  <w:style w:type="paragraph" w:styleId="Corpodeltesto">
    <w:name w:val="Body Text"/>
    <w:basedOn w:val="Normale"/>
    <w:rsid w:val="007B54DE"/>
    <w:pPr>
      <w:jc w:val="both"/>
    </w:pPr>
    <w:rPr>
      <w:rFonts w:ascii="Arial" w:hAnsi="Arial"/>
      <w:sz w:val="24"/>
    </w:rPr>
  </w:style>
  <w:style w:type="paragraph" w:styleId="Titolo">
    <w:name w:val="Title"/>
    <w:basedOn w:val="Normale"/>
    <w:qFormat/>
    <w:rsid w:val="007B54DE"/>
    <w:pPr>
      <w:jc w:val="center"/>
    </w:pPr>
    <w:rPr>
      <w:rFonts w:ascii="Arial" w:hAnsi="Arial" w:cs="Arial"/>
      <w:i/>
      <w:color w:val="808080"/>
      <w:sz w:val="18"/>
      <w:szCs w:val="18"/>
    </w:rPr>
  </w:style>
  <w:style w:type="character" w:styleId="Enfasigrassetto">
    <w:name w:val="Strong"/>
    <w:qFormat/>
    <w:rsid w:val="003D6AE1"/>
    <w:rPr>
      <w:b/>
      <w:bCs/>
    </w:rPr>
  </w:style>
  <w:style w:type="character" w:customStyle="1" w:styleId="apple-converted-space">
    <w:name w:val="apple-converted-space"/>
    <w:rsid w:val="00194C11"/>
  </w:style>
  <w:style w:type="character" w:customStyle="1" w:styleId="Nessuno">
    <w:name w:val="Nessuno"/>
    <w:qFormat/>
    <w:rsid w:val="006328F6"/>
    <w:rPr>
      <w:lang w:val="it-IT"/>
    </w:rPr>
  </w:style>
  <w:style w:type="paragraph" w:styleId="Paragrafoelenco">
    <w:name w:val="List Paragraph"/>
    <w:basedOn w:val="Normale"/>
    <w:uiPriority w:val="34"/>
    <w:qFormat/>
    <w:rsid w:val="006328F6"/>
    <w:pPr>
      <w:spacing w:after="160" w:line="256" w:lineRule="auto"/>
      <w:ind w:left="720"/>
      <w:contextualSpacing/>
    </w:pPr>
    <w:rPr>
      <w:rFonts w:ascii="Calibri" w:eastAsia="Arial Unicode MS" w:hAnsi="Calibri" w:cs="Arial Unicode MS"/>
      <w:color w:val="000000"/>
      <w:sz w:val="22"/>
      <w:szCs w:val="22"/>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435</Words>
  <Characters>2486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CGIL SCUOLA</vt:lpstr>
    </vt:vector>
  </TitlesOfParts>
  <Company>Cgil Scuola</Company>
  <LinksUpToDate>false</LinksUpToDate>
  <CharactersWithSpaces>2916</CharactersWithSpaces>
  <SharedDoc>false</SharedDoc>
  <HLinks>
    <vt:vector size="6" baseType="variant">
      <vt:variant>
        <vt:i4>1114207</vt:i4>
      </vt:variant>
      <vt:variant>
        <vt:i4>5</vt:i4>
      </vt:variant>
      <vt:variant>
        <vt:i4>0</vt:i4>
      </vt:variant>
      <vt:variant>
        <vt:i4>5</vt:i4>
      </vt:variant>
      <vt:variant>
        <vt:lpwstr>http://www.cgilscuola.it/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CGIL SCUOLA</dc:title>
  <dc:creator>Cgil Scuola</dc:creator>
  <cp:lastModifiedBy>Windows User</cp:lastModifiedBy>
  <cp:revision>5</cp:revision>
  <cp:lastPrinted>2022-05-02T16:33:00Z</cp:lastPrinted>
  <dcterms:created xsi:type="dcterms:W3CDTF">2022-11-11T17:44:00Z</dcterms:created>
  <dcterms:modified xsi:type="dcterms:W3CDTF">2022-11-11T18:07:00Z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-1236150711</vt:i4>
  </property>
  <property fmtid="{D5CDD505-2E9C-101B-9397-08002B2CF9AE}" pid="3" name="_EmailSubject">
    <vt:lpwstr>carta intestata</vt:lpwstr>
  </property>
  <property fmtid="{D5CDD505-2E9C-101B-9397-08002B2CF9AE}" pid="4" name="_AuthorEmail">
    <vt:lpwstr>g.rampazzo@flcgil.it</vt:lpwstr>
  </property>
  <property fmtid="{D5CDD505-2E9C-101B-9397-08002B2CF9AE}" pid="5" name="_AuthorEmailDisplayName">
    <vt:lpwstr>Giovanna Rampazzo</vt:lpwstr>
  </property>
  <property fmtid="{D5CDD505-2E9C-101B-9397-08002B2CF9AE}" pid="6" name="_ReviewingToolsShownOnce">
    <vt:lpwstr/>
  </property>
</Properties>
</file>